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both"/>
      </w:pPr>
      <w:r>
        <w:t>ВНИМАНИЕ. Пояснения к декларации по НДС представляются только в электронной форме по телекоммуникационным каналам связи через оператора электронного документооборота по формату, установленному ФНС России. Пояснения на бумажном носителе или не по установленному формату не считаются представленными (п. 3 ст. 88 НК РФ). Используйте текст ниже как основу и подайте пояснения через вашего оператора ЭДО.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по расхождениям в декларации по налогу на добавленную стоимость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сообщаем следующее.</w:t>
      </w:r>
    </w:p>
    <w:p>
      <w:pPr>
        <w:jc w:val="both"/>
      </w:pPr>
      <w:r>
        <w:t>Расхождение в декларации по НДС за [ОТЧЁТНЫЙ ПЕРИОД] по счёту-фактуре контрагента [НАИМЕНОВАНИЕ КОНТРАГЕНТА] (ИНН [ИНН КОНТРАГЕНТА]) носит объяснимый характер и не свидетельствует о занижении суммы налога.</w:t>
      </w:r>
    </w:p>
    <w:p>
      <w:pPr>
        <w:jc w:val="both"/>
      </w:pPr>
      <w:r>
        <w:t>Причина расхождения: [ПРИЧИНА — НАПРИМЕР: КОНТРАГЕНТ НЕ ОТРАЗИЛ СЧЁТ-ФАКТУРУ ИЛИ ОТРАЗИЛ ЕЁ В ДРУГОМ НАЛОГОВОМ ПЕРИОДЕ / ТЕХНИЧЕСКАЯ ОШИБКА В РЕКВИЗИТАХ СЧЁТА-ФАКТУРЫ / ВЫЧЕТ ПЕРЕНЕСЁН В ПРЕДЕЛАХ ТРЁХ ЛЕТ / ПОДАНА (БУДЕТ ПОДАНА) УТОЧНЁННАЯ ДЕКЛАРАЦИЯ].</w:t>
      </w:r>
    </w:p>
    <w:p>
      <w:pPr>
        <w:jc w:val="both"/>
      </w:pPr>
      <w:r>
        <w:t>Операция подтверждается документами: счёт-фактура № [НОМЕР] от [ДАТА], договор № [НОМЕР] от [ДАТА], [ПЕРВИЧНЫЕ ДОКУМЕНТЫ]. Сумма по операции — [СУММА, РУБ.], в том числе НДС — [СУММА, РУБ.].</w:t>
      </w:r>
    </w:p>
    <w:p>
      <w:pPr>
        <w:jc w:val="both"/>
      </w:pPr>
      <w:r>
        <w:t>Показатели книги покупок и книги продаж отражены достоверно. [ЕСЛИ ПОДАНА УТОЧНЁННАЯ ДЕКЛАРАЦИЯ: Уточнённая налоговая декларация за [ПЕРИОД] представлена [ДАТА]. ИНАЧЕ: Основания для представления уточнённой налоговой декларации отсутствуют.]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