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о расхождении показателей деклараций по налогу на прибыль и НДС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сообщаем следующее.</w:t>
      </w:r>
    </w:p>
    <w:p>
      <w:pPr>
        <w:jc w:val="both"/>
      </w:pPr>
      <w:r>
        <w:t>Расхождение показателей деклараций за [ПЕРИОД] обусловлено различным порядком формирования налоговых баз по налогу на прибыль и НДС и не свидетельствует об ошибке.</w:t>
      </w:r>
    </w:p>
    <w:p>
      <w:pPr>
        <w:jc w:val="both"/>
      </w:pPr>
      <w:r>
        <w:t>Разница складывается из следующих операций:</w:t>
      </w:r>
    </w:p>
    <w:p>
      <w:pPr>
        <w:jc w:val="both"/>
      </w:pPr>
      <w:r>
        <w:t>1. [ОПЕРАЦИЯ — НАПРИМЕР: ОПЕРАЦИИ, НЕ ОБЛАГАЕМЫЕ НДС (ПРОЦЕНТЫ ПО ЗАЙМАМ, ДИВИДЕНДЫ)] — [СУММА, РУБ.];</w:t>
      </w:r>
    </w:p>
    <w:p>
      <w:pPr>
        <w:jc w:val="both"/>
      </w:pPr>
      <w:r>
        <w:t>2. [ОПЕРАЦИЯ — НАПРИМЕР: КУРСОВЫЕ РАЗНИЦЫ] — [СУММА, РУБ.];</w:t>
      </w:r>
    </w:p>
    <w:p>
      <w:pPr>
        <w:jc w:val="both"/>
      </w:pPr>
      <w:r>
        <w:t>3. [ОПЕРАЦИЯ — НАПРИМЕР: ДОХОДЫ, ПРИЗНАВАЕМЫЕ В РАЗНЫХ ПЕРИОДАХ; ВОЗВРАТЫ ТОВАРОВ; ВОССТАНОВЛЕНИЕ РЕЗЕРВОВ] — [СУММА, РУБ.].</w:t>
      </w:r>
    </w:p>
    <w:p>
      <w:pPr>
        <w:jc w:val="both"/>
      </w:pPr>
      <w:r>
        <w:t>С учётом перечисленных операций показатели деклараций сопоставимы: [КРАТКИЙ РАСЧЁТ-СВЕРКА].</w:t>
      </w:r>
    </w:p>
    <w:p>
      <w:pPr>
        <w:jc w:val="both"/>
      </w:pPr>
      <w:r>
        <w:t>Показатели обеих деклараций сформированы в соответствии с порядком, установленным Налоговым кодексом, и являются достоверными.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